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6C33" w:rsidRPr="007D6C33" w:rsidRDefault="00892EE2" w:rsidP="007D6C33">
      <w:pPr>
        <w:shd w:val="clear" w:color="auto" w:fill="FFFFFF"/>
        <w:spacing w:after="150" w:line="240" w:lineRule="auto"/>
        <w:rPr>
          <w:rFonts w:ascii="Arial" w:eastAsia="Times New Roman" w:hAnsi="Arial" w:cs="Arial"/>
          <w:color w:val="333435"/>
          <w:sz w:val="21"/>
          <w:szCs w:val="21"/>
        </w:rPr>
      </w:pPr>
      <w:r>
        <w:rPr>
          <w:rFonts w:ascii="Arial" w:eastAsia="Times New Roman" w:hAnsi="Arial" w:cs="Arial"/>
          <w:color w:val="333435"/>
          <w:sz w:val="21"/>
          <w:szCs w:val="21"/>
        </w:rPr>
        <w:t>INT107</w:t>
      </w:r>
      <w:r w:rsidR="00734DD8">
        <w:rPr>
          <w:rFonts w:ascii="Arial" w:eastAsia="Times New Roman" w:hAnsi="Arial" w:cs="Arial"/>
          <w:color w:val="333435"/>
          <w:sz w:val="21"/>
          <w:szCs w:val="21"/>
        </w:rPr>
        <w:t>-2</w:t>
      </w:r>
      <w:r w:rsidR="005D27A3">
        <w:rPr>
          <w:rFonts w:ascii="Arial" w:eastAsia="Times New Roman" w:hAnsi="Arial" w:cs="Arial"/>
          <w:color w:val="333435"/>
          <w:sz w:val="21"/>
          <w:szCs w:val="21"/>
        </w:rPr>
        <w:t>.3</w:t>
      </w:r>
      <w:r w:rsidR="007D6C33">
        <w:rPr>
          <w:rFonts w:ascii="Arial" w:eastAsia="Times New Roman" w:hAnsi="Arial" w:cs="Arial"/>
          <w:color w:val="333435"/>
          <w:sz w:val="21"/>
          <w:szCs w:val="21"/>
        </w:rPr>
        <w:t xml:space="preserve"> Lab</w:t>
      </w:r>
      <w:r w:rsidR="000256A2">
        <w:rPr>
          <w:rFonts w:ascii="Arial" w:eastAsia="Times New Roman" w:hAnsi="Arial" w:cs="Arial"/>
          <w:color w:val="333435"/>
          <w:sz w:val="21"/>
          <w:szCs w:val="21"/>
        </w:rPr>
        <w:t>:</w:t>
      </w:r>
      <w:bookmarkStart w:id="0" w:name="_GoBack"/>
      <w:bookmarkEnd w:id="0"/>
      <w:r w:rsidR="007D6C33">
        <w:rPr>
          <w:rFonts w:ascii="Arial" w:eastAsia="Times New Roman" w:hAnsi="Arial" w:cs="Arial"/>
          <w:color w:val="333435"/>
          <w:sz w:val="21"/>
          <w:szCs w:val="21"/>
        </w:rPr>
        <w:t xml:space="preserve"> Answer the following lab questions.</w:t>
      </w:r>
      <w:r w:rsidR="009A4BC9">
        <w:rPr>
          <w:rFonts w:ascii="Arial" w:eastAsia="Times New Roman" w:hAnsi="Arial" w:cs="Arial"/>
          <w:color w:val="333435"/>
          <w:sz w:val="21"/>
          <w:szCs w:val="21"/>
        </w:rPr>
        <w:t xml:space="preserve">  Student Name</w:t>
      </w:r>
      <w:proofErr w:type="gramStart"/>
      <w:r w:rsidR="009A4BC9">
        <w:rPr>
          <w:rFonts w:ascii="Arial" w:eastAsia="Times New Roman" w:hAnsi="Arial" w:cs="Arial"/>
          <w:color w:val="333435"/>
          <w:sz w:val="21"/>
          <w:szCs w:val="21"/>
        </w:rPr>
        <w:t>:_</w:t>
      </w:r>
      <w:proofErr w:type="gramEnd"/>
      <w:r w:rsidR="009A4BC9">
        <w:rPr>
          <w:rFonts w:ascii="Arial" w:eastAsia="Times New Roman" w:hAnsi="Arial" w:cs="Arial"/>
          <w:color w:val="333435"/>
          <w:sz w:val="21"/>
          <w:szCs w:val="21"/>
        </w:rPr>
        <w:t>________________________</w:t>
      </w:r>
    </w:p>
    <w:p w:rsidR="007D6C33" w:rsidRPr="007D6C33" w:rsidRDefault="007D6C33" w:rsidP="007D6C33">
      <w:pPr>
        <w:shd w:val="clear" w:color="auto" w:fill="FFFFFF"/>
        <w:spacing w:after="150" w:line="240" w:lineRule="auto"/>
        <w:rPr>
          <w:rFonts w:ascii="Arial" w:eastAsia="Times New Roman" w:hAnsi="Arial" w:cs="Arial"/>
          <w:color w:val="333435"/>
          <w:sz w:val="21"/>
          <w:szCs w:val="21"/>
        </w:rPr>
      </w:pPr>
      <w:r w:rsidRPr="007D6C33">
        <w:rPr>
          <w:rFonts w:ascii="Arial" w:eastAsia="Times New Roman" w:hAnsi="Arial" w:cs="Arial"/>
          <w:color w:val="333435"/>
          <w:sz w:val="21"/>
          <w:szCs w:val="21"/>
        </w:rPr>
        <w:t> </w:t>
      </w:r>
    </w:p>
    <w:p w:rsidR="00892EE2" w:rsidRPr="00892EE2" w:rsidRDefault="00892EE2" w:rsidP="00892EE2">
      <w:pPr>
        <w:shd w:val="clear" w:color="auto" w:fill="FFFFFF"/>
        <w:spacing w:after="150" w:line="240" w:lineRule="auto"/>
        <w:rPr>
          <w:rFonts w:ascii="Arial" w:eastAsia="Times New Roman" w:hAnsi="Arial" w:cs="Arial"/>
          <w:color w:val="333435"/>
          <w:sz w:val="21"/>
          <w:szCs w:val="21"/>
        </w:rPr>
      </w:pPr>
      <w:r w:rsidRPr="00892EE2">
        <w:rPr>
          <w:rFonts w:ascii="Arial" w:eastAsia="Times New Roman" w:hAnsi="Arial" w:cs="Arial"/>
          <w:color w:val="333435"/>
          <w:sz w:val="21"/>
          <w:szCs w:val="21"/>
        </w:rPr>
        <w:t xml:space="preserve">Refer </w:t>
      </w:r>
      <w:r w:rsidR="00665E2E">
        <w:rPr>
          <w:rFonts w:ascii="Arial" w:eastAsia="Times New Roman" w:hAnsi="Arial" w:cs="Arial"/>
          <w:color w:val="333435"/>
          <w:sz w:val="21"/>
          <w:szCs w:val="21"/>
        </w:rPr>
        <w:t xml:space="preserve">to </w:t>
      </w:r>
      <w:r w:rsidRPr="00892EE2">
        <w:rPr>
          <w:rFonts w:ascii="Arial" w:eastAsia="Times New Roman" w:hAnsi="Arial" w:cs="Arial"/>
          <w:color w:val="333435"/>
          <w:sz w:val="21"/>
          <w:szCs w:val="21"/>
        </w:rPr>
        <w:t xml:space="preserve">print </w:t>
      </w:r>
      <w:r w:rsidR="00B07FAE">
        <w:rPr>
          <w:rFonts w:ascii="Arial" w:eastAsia="Times New Roman" w:hAnsi="Arial" w:cs="Arial"/>
          <w:color w:val="333435"/>
          <w:sz w:val="21"/>
          <w:szCs w:val="21"/>
        </w:rPr>
        <w:t>PR0</w:t>
      </w:r>
      <w:r w:rsidR="006D5E65">
        <w:rPr>
          <w:rFonts w:ascii="Arial" w:eastAsia="Times New Roman" w:hAnsi="Arial" w:cs="Arial"/>
          <w:color w:val="333435"/>
          <w:sz w:val="21"/>
          <w:szCs w:val="21"/>
        </w:rPr>
        <w:t>4</w:t>
      </w:r>
      <w:r w:rsidR="00B07FAE">
        <w:rPr>
          <w:rFonts w:ascii="Arial" w:eastAsia="Times New Roman" w:hAnsi="Arial" w:cs="Arial"/>
          <w:color w:val="333435"/>
          <w:sz w:val="21"/>
          <w:szCs w:val="21"/>
        </w:rPr>
        <w:t>0</w:t>
      </w:r>
      <w:r w:rsidR="00A82747">
        <w:rPr>
          <w:rFonts w:ascii="Arial" w:eastAsia="Times New Roman" w:hAnsi="Arial" w:cs="Arial"/>
          <w:color w:val="333435"/>
          <w:sz w:val="21"/>
          <w:szCs w:val="21"/>
        </w:rPr>
        <w:t>2</w:t>
      </w:r>
      <w:r w:rsidR="00665E2E">
        <w:rPr>
          <w:rFonts w:ascii="Arial" w:eastAsia="Times New Roman" w:hAnsi="Arial" w:cs="Arial"/>
          <w:color w:val="333435"/>
          <w:sz w:val="21"/>
          <w:szCs w:val="21"/>
        </w:rPr>
        <w:t xml:space="preserve"> drawing number </w:t>
      </w:r>
      <w:r w:rsidR="005D27A3">
        <w:rPr>
          <w:rFonts w:ascii="Arial" w:eastAsia="Times New Roman" w:hAnsi="Arial" w:cs="Arial"/>
          <w:color w:val="333435"/>
          <w:sz w:val="21"/>
          <w:szCs w:val="21"/>
        </w:rPr>
        <w:t>CMM000250A</w:t>
      </w:r>
      <w:r w:rsidR="00665E2E">
        <w:rPr>
          <w:rFonts w:ascii="Arial" w:eastAsia="Times New Roman" w:hAnsi="Arial" w:cs="Arial"/>
          <w:color w:val="333435"/>
          <w:sz w:val="21"/>
          <w:szCs w:val="21"/>
        </w:rPr>
        <w:t xml:space="preserve"> from the text book instructor package.  A</w:t>
      </w:r>
      <w:r w:rsidRPr="00892EE2">
        <w:rPr>
          <w:rFonts w:ascii="Arial" w:eastAsia="Times New Roman" w:hAnsi="Arial" w:cs="Arial"/>
          <w:color w:val="333435"/>
          <w:sz w:val="21"/>
          <w:szCs w:val="21"/>
        </w:rPr>
        <w:t>ns</w:t>
      </w:r>
      <w:r w:rsidR="00665E2E">
        <w:rPr>
          <w:rFonts w:ascii="Arial" w:eastAsia="Times New Roman" w:hAnsi="Arial" w:cs="Arial"/>
          <w:color w:val="333435"/>
          <w:sz w:val="21"/>
          <w:szCs w:val="21"/>
        </w:rPr>
        <w:t>wer the following questions.</w:t>
      </w:r>
      <w:r w:rsidRPr="00892EE2">
        <w:rPr>
          <w:rFonts w:ascii="Arial" w:eastAsia="Times New Roman" w:hAnsi="Arial" w:cs="Arial"/>
          <w:color w:val="333435"/>
          <w:sz w:val="21"/>
          <w:szCs w:val="21"/>
        </w:rPr>
        <w:t> </w:t>
      </w:r>
    </w:p>
    <w:p w:rsidR="00A82747" w:rsidRPr="00A82747" w:rsidRDefault="00A82747" w:rsidP="00A82747">
      <w:pPr>
        <w:shd w:val="clear" w:color="auto" w:fill="FFFFFF"/>
        <w:spacing w:after="150" w:line="240" w:lineRule="auto"/>
        <w:rPr>
          <w:rFonts w:ascii="Arial" w:eastAsia="Times New Roman" w:hAnsi="Arial" w:cs="Arial"/>
          <w:color w:val="333435"/>
          <w:sz w:val="21"/>
          <w:szCs w:val="21"/>
        </w:rPr>
      </w:pPr>
      <w:r w:rsidRPr="00A82747">
        <w:rPr>
          <w:rFonts w:ascii="Arial" w:eastAsia="Times New Roman" w:hAnsi="Arial" w:cs="Arial"/>
          <w:color w:val="333435"/>
          <w:sz w:val="21"/>
          <w:szCs w:val="21"/>
        </w:rPr>
        <w:t xml:space="preserve">Note: In this print, the geometric shape shown represents the perimeter surfaces of the Dead Bolt Locking Pawl, and the </w:t>
      </w:r>
      <w:proofErr w:type="gramStart"/>
      <w:r w:rsidRPr="00A82747">
        <w:rPr>
          <w:rFonts w:ascii="Arial" w:eastAsia="Times New Roman" w:hAnsi="Arial" w:cs="Arial"/>
          <w:color w:val="333435"/>
          <w:sz w:val="21"/>
          <w:szCs w:val="21"/>
        </w:rPr>
        <w:t>hole</w:t>
      </w:r>
      <w:proofErr w:type="gramEnd"/>
      <w:r w:rsidRPr="00A82747">
        <w:rPr>
          <w:rFonts w:ascii="Arial" w:eastAsia="Times New Roman" w:hAnsi="Arial" w:cs="Arial"/>
          <w:color w:val="333435"/>
          <w:sz w:val="21"/>
          <w:szCs w:val="21"/>
        </w:rPr>
        <w:t xml:space="preserve"> surface going through the part. The symbol Ø means diameter, and a capital “R” means radius.</w:t>
      </w:r>
    </w:p>
    <w:p w:rsidR="005D27A3" w:rsidRDefault="00A82747" w:rsidP="005D27A3">
      <w:pPr>
        <w:numPr>
          <w:ilvl w:val="0"/>
          <w:numId w:val="5"/>
        </w:numPr>
        <w:shd w:val="clear" w:color="auto" w:fill="FFFFFF"/>
        <w:spacing w:before="100" w:beforeAutospacing="1" w:after="100" w:afterAutospacing="1" w:line="240" w:lineRule="auto"/>
        <w:rPr>
          <w:rFonts w:ascii="Arial" w:eastAsia="Times New Roman" w:hAnsi="Arial" w:cs="Arial"/>
          <w:color w:val="333435"/>
          <w:sz w:val="21"/>
          <w:szCs w:val="21"/>
        </w:rPr>
      </w:pPr>
      <w:r w:rsidRPr="00A82747">
        <w:rPr>
          <w:rFonts w:ascii="Arial" w:eastAsia="Times New Roman" w:hAnsi="Arial" w:cs="Arial"/>
          <w:color w:val="333435"/>
          <w:sz w:val="21"/>
          <w:szCs w:val="21"/>
        </w:rPr>
        <w:t>What relationship exists between the circle with a diameter (Ø) of .204″ and the arc with a radius (R) of .18″?</w:t>
      </w:r>
    </w:p>
    <w:p w:rsidR="005D27A3" w:rsidRPr="00A82747" w:rsidRDefault="005D27A3" w:rsidP="005D27A3">
      <w:pPr>
        <w:shd w:val="clear" w:color="auto" w:fill="FFFFFF"/>
        <w:spacing w:before="100" w:beforeAutospacing="1" w:after="100" w:afterAutospacing="1" w:line="240" w:lineRule="auto"/>
        <w:ind w:left="360"/>
        <w:rPr>
          <w:rFonts w:ascii="Arial" w:eastAsia="Times New Roman" w:hAnsi="Arial" w:cs="Arial"/>
          <w:color w:val="333435"/>
          <w:sz w:val="21"/>
          <w:szCs w:val="21"/>
        </w:rPr>
      </w:pPr>
    </w:p>
    <w:p w:rsidR="00A82747" w:rsidRDefault="00A82747" w:rsidP="00A82747">
      <w:pPr>
        <w:numPr>
          <w:ilvl w:val="0"/>
          <w:numId w:val="5"/>
        </w:numPr>
        <w:shd w:val="clear" w:color="auto" w:fill="FFFFFF"/>
        <w:spacing w:before="100" w:beforeAutospacing="1" w:after="100" w:afterAutospacing="1" w:line="240" w:lineRule="auto"/>
        <w:rPr>
          <w:rFonts w:ascii="Arial" w:eastAsia="Times New Roman" w:hAnsi="Arial" w:cs="Arial"/>
          <w:color w:val="333435"/>
          <w:sz w:val="21"/>
          <w:szCs w:val="21"/>
        </w:rPr>
      </w:pPr>
      <w:r w:rsidRPr="00A82747">
        <w:rPr>
          <w:rFonts w:ascii="Arial" w:eastAsia="Times New Roman" w:hAnsi="Arial" w:cs="Arial"/>
          <w:color w:val="333435"/>
          <w:sz w:val="21"/>
          <w:szCs w:val="21"/>
        </w:rPr>
        <w:t>How many straight line segments within the geometric shape of the view are parallel with each other?</w:t>
      </w:r>
    </w:p>
    <w:p w:rsidR="005D27A3" w:rsidRPr="00A82747" w:rsidRDefault="005D27A3" w:rsidP="005D27A3">
      <w:pPr>
        <w:shd w:val="clear" w:color="auto" w:fill="FFFFFF"/>
        <w:spacing w:before="100" w:beforeAutospacing="1" w:after="100" w:afterAutospacing="1" w:line="240" w:lineRule="auto"/>
        <w:rPr>
          <w:rFonts w:ascii="Arial" w:eastAsia="Times New Roman" w:hAnsi="Arial" w:cs="Arial"/>
          <w:color w:val="333435"/>
          <w:sz w:val="21"/>
          <w:szCs w:val="21"/>
        </w:rPr>
      </w:pPr>
    </w:p>
    <w:p w:rsidR="00A82747" w:rsidRDefault="00A82747" w:rsidP="00A82747">
      <w:pPr>
        <w:numPr>
          <w:ilvl w:val="0"/>
          <w:numId w:val="5"/>
        </w:numPr>
        <w:shd w:val="clear" w:color="auto" w:fill="FFFFFF"/>
        <w:spacing w:before="100" w:beforeAutospacing="1" w:after="100" w:afterAutospacing="1" w:line="240" w:lineRule="auto"/>
        <w:rPr>
          <w:rFonts w:ascii="Arial" w:eastAsia="Times New Roman" w:hAnsi="Arial" w:cs="Arial"/>
          <w:color w:val="333435"/>
          <w:sz w:val="21"/>
          <w:szCs w:val="21"/>
        </w:rPr>
      </w:pPr>
      <w:r w:rsidRPr="00A82747">
        <w:rPr>
          <w:rFonts w:ascii="Arial" w:eastAsia="Times New Roman" w:hAnsi="Arial" w:cs="Arial"/>
          <w:color w:val="333435"/>
          <w:sz w:val="21"/>
          <w:szCs w:val="21"/>
        </w:rPr>
        <w:t>True or False - The arc with the radius of .250" is tangent with an arc that has a radius of .06"?</w:t>
      </w:r>
    </w:p>
    <w:p w:rsidR="005D27A3" w:rsidRPr="00A82747" w:rsidRDefault="005D27A3" w:rsidP="005D27A3">
      <w:pPr>
        <w:shd w:val="clear" w:color="auto" w:fill="FFFFFF"/>
        <w:spacing w:before="100" w:beforeAutospacing="1" w:after="100" w:afterAutospacing="1" w:line="240" w:lineRule="auto"/>
        <w:rPr>
          <w:rFonts w:ascii="Arial" w:eastAsia="Times New Roman" w:hAnsi="Arial" w:cs="Arial"/>
          <w:color w:val="333435"/>
          <w:sz w:val="21"/>
          <w:szCs w:val="21"/>
        </w:rPr>
      </w:pPr>
    </w:p>
    <w:p w:rsidR="005D27A3" w:rsidRDefault="00A82747" w:rsidP="005D27A3">
      <w:pPr>
        <w:numPr>
          <w:ilvl w:val="0"/>
          <w:numId w:val="5"/>
        </w:numPr>
        <w:shd w:val="clear" w:color="auto" w:fill="FFFFFF"/>
        <w:spacing w:before="100" w:beforeAutospacing="1" w:after="100" w:afterAutospacing="1" w:line="240" w:lineRule="auto"/>
        <w:rPr>
          <w:rFonts w:ascii="Arial" w:eastAsia="Times New Roman" w:hAnsi="Arial" w:cs="Arial"/>
          <w:color w:val="333435"/>
          <w:sz w:val="21"/>
          <w:szCs w:val="21"/>
        </w:rPr>
      </w:pPr>
      <w:r w:rsidRPr="00A82747">
        <w:rPr>
          <w:rFonts w:ascii="Arial" w:eastAsia="Times New Roman" w:hAnsi="Arial" w:cs="Arial"/>
          <w:color w:val="333435"/>
          <w:sz w:val="21"/>
          <w:szCs w:val="21"/>
        </w:rPr>
        <w:t>True or False - The arc with a radius of .062" is tangent with an arc that has a radius of .030"?</w:t>
      </w:r>
    </w:p>
    <w:p w:rsidR="005D27A3" w:rsidRPr="00A82747" w:rsidRDefault="005D27A3" w:rsidP="005D27A3">
      <w:pPr>
        <w:shd w:val="clear" w:color="auto" w:fill="FFFFFF"/>
        <w:spacing w:before="100" w:beforeAutospacing="1" w:after="100" w:afterAutospacing="1" w:line="240" w:lineRule="auto"/>
        <w:rPr>
          <w:rFonts w:ascii="Arial" w:eastAsia="Times New Roman" w:hAnsi="Arial" w:cs="Arial"/>
          <w:color w:val="333435"/>
          <w:sz w:val="21"/>
          <w:szCs w:val="21"/>
        </w:rPr>
      </w:pPr>
    </w:p>
    <w:p w:rsidR="00A82747" w:rsidRDefault="00A82747" w:rsidP="00A82747">
      <w:pPr>
        <w:numPr>
          <w:ilvl w:val="0"/>
          <w:numId w:val="5"/>
        </w:numPr>
        <w:shd w:val="clear" w:color="auto" w:fill="FFFFFF"/>
        <w:spacing w:before="100" w:beforeAutospacing="1" w:after="100" w:afterAutospacing="1" w:line="240" w:lineRule="auto"/>
        <w:rPr>
          <w:rFonts w:ascii="Arial" w:eastAsia="Times New Roman" w:hAnsi="Arial" w:cs="Arial"/>
          <w:color w:val="333435"/>
          <w:sz w:val="21"/>
          <w:szCs w:val="21"/>
        </w:rPr>
      </w:pPr>
      <w:r w:rsidRPr="00A82747">
        <w:rPr>
          <w:rFonts w:ascii="Arial" w:eastAsia="Times New Roman" w:hAnsi="Arial" w:cs="Arial"/>
          <w:color w:val="333435"/>
          <w:sz w:val="21"/>
          <w:szCs w:val="21"/>
        </w:rPr>
        <w:t>One line is identified as 50° with respect to the vertical center line. What is the complementary angle that line forms with a horizontal line?</w:t>
      </w:r>
    </w:p>
    <w:p w:rsidR="005D27A3" w:rsidRPr="00A82747" w:rsidRDefault="005D27A3" w:rsidP="005D27A3">
      <w:pPr>
        <w:shd w:val="clear" w:color="auto" w:fill="FFFFFF"/>
        <w:spacing w:before="100" w:beforeAutospacing="1" w:after="100" w:afterAutospacing="1" w:line="240" w:lineRule="auto"/>
        <w:rPr>
          <w:rFonts w:ascii="Arial" w:eastAsia="Times New Roman" w:hAnsi="Arial" w:cs="Arial"/>
          <w:color w:val="333435"/>
          <w:sz w:val="21"/>
          <w:szCs w:val="21"/>
        </w:rPr>
      </w:pPr>
    </w:p>
    <w:p w:rsidR="00A82747" w:rsidRDefault="00A82747" w:rsidP="00A82747">
      <w:pPr>
        <w:numPr>
          <w:ilvl w:val="0"/>
          <w:numId w:val="5"/>
        </w:numPr>
        <w:shd w:val="clear" w:color="auto" w:fill="FFFFFF"/>
        <w:spacing w:before="100" w:beforeAutospacing="1" w:after="100" w:afterAutospacing="1" w:line="240" w:lineRule="auto"/>
        <w:rPr>
          <w:rFonts w:ascii="Arial" w:eastAsia="Times New Roman" w:hAnsi="Arial" w:cs="Arial"/>
          <w:color w:val="333435"/>
          <w:sz w:val="21"/>
          <w:szCs w:val="21"/>
        </w:rPr>
      </w:pPr>
      <w:r w:rsidRPr="00A82747">
        <w:rPr>
          <w:rFonts w:ascii="Arial" w:eastAsia="Times New Roman" w:hAnsi="Arial" w:cs="Arial"/>
          <w:color w:val="333435"/>
          <w:sz w:val="21"/>
          <w:szCs w:val="21"/>
        </w:rPr>
        <w:t> One line is identified as 75° with respect to a vertical line and .136″ away from a center axis. What angle do the extension lines of the .136″ dimension form with a horizontal line?</w:t>
      </w:r>
    </w:p>
    <w:p w:rsidR="005D27A3" w:rsidRPr="00A82747" w:rsidRDefault="005D27A3" w:rsidP="005D27A3">
      <w:pPr>
        <w:shd w:val="clear" w:color="auto" w:fill="FFFFFF"/>
        <w:spacing w:before="100" w:beforeAutospacing="1" w:after="100" w:afterAutospacing="1" w:line="240" w:lineRule="auto"/>
        <w:rPr>
          <w:rFonts w:ascii="Arial" w:eastAsia="Times New Roman" w:hAnsi="Arial" w:cs="Arial"/>
          <w:color w:val="333435"/>
          <w:sz w:val="21"/>
          <w:szCs w:val="21"/>
        </w:rPr>
      </w:pPr>
    </w:p>
    <w:p w:rsidR="00A82747" w:rsidRDefault="00A82747" w:rsidP="00A82747">
      <w:pPr>
        <w:numPr>
          <w:ilvl w:val="0"/>
          <w:numId w:val="5"/>
        </w:numPr>
        <w:shd w:val="clear" w:color="auto" w:fill="FFFFFF"/>
        <w:spacing w:before="100" w:beforeAutospacing="1" w:after="100" w:afterAutospacing="1" w:line="240" w:lineRule="auto"/>
        <w:rPr>
          <w:rFonts w:ascii="Arial" w:eastAsia="Times New Roman" w:hAnsi="Arial" w:cs="Arial"/>
          <w:color w:val="333435"/>
          <w:sz w:val="21"/>
          <w:szCs w:val="21"/>
        </w:rPr>
      </w:pPr>
      <w:r w:rsidRPr="00A82747">
        <w:rPr>
          <w:rFonts w:ascii="Arial" w:eastAsia="Times New Roman" w:hAnsi="Arial" w:cs="Arial"/>
          <w:color w:val="333435"/>
          <w:sz w:val="21"/>
          <w:szCs w:val="21"/>
        </w:rPr>
        <w:t>With respect to Question 6, what supplementary angle could have been given instead of the 75° that was specified?</w:t>
      </w:r>
    </w:p>
    <w:p w:rsidR="005D27A3" w:rsidRPr="00A82747" w:rsidRDefault="005D27A3" w:rsidP="005D27A3">
      <w:pPr>
        <w:shd w:val="clear" w:color="auto" w:fill="FFFFFF"/>
        <w:spacing w:before="100" w:beforeAutospacing="1" w:after="100" w:afterAutospacing="1" w:line="240" w:lineRule="auto"/>
        <w:rPr>
          <w:rFonts w:ascii="Arial" w:eastAsia="Times New Roman" w:hAnsi="Arial" w:cs="Arial"/>
          <w:color w:val="333435"/>
          <w:sz w:val="21"/>
          <w:szCs w:val="21"/>
        </w:rPr>
      </w:pPr>
    </w:p>
    <w:p w:rsidR="00A82747" w:rsidRDefault="00A82747" w:rsidP="00A82747">
      <w:pPr>
        <w:numPr>
          <w:ilvl w:val="0"/>
          <w:numId w:val="5"/>
        </w:numPr>
        <w:shd w:val="clear" w:color="auto" w:fill="FFFFFF"/>
        <w:spacing w:before="100" w:beforeAutospacing="1" w:after="100" w:afterAutospacing="1" w:line="240" w:lineRule="auto"/>
        <w:rPr>
          <w:rFonts w:ascii="Arial" w:eastAsia="Times New Roman" w:hAnsi="Arial" w:cs="Arial"/>
          <w:color w:val="333435"/>
          <w:sz w:val="21"/>
          <w:szCs w:val="21"/>
        </w:rPr>
      </w:pPr>
      <w:r w:rsidRPr="00A82747">
        <w:rPr>
          <w:rFonts w:ascii="Arial" w:eastAsia="Times New Roman" w:hAnsi="Arial" w:cs="Arial"/>
          <w:color w:val="333435"/>
          <w:sz w:val="21"/>
          <w:szCs w:val="21"/>
        </w:rPr>
        <w:t>How many acute angles are specified on the view?</w:t>
      </w:r>
    </w:p>
    <w:p w:rsidR="005D27A3" w:rsidRPr="00A82747" w:rsidRDefault="005D27A3" w:rsidP="005D27A3">
      <w:pPr>
        <w:shd w:val="clear" w:color="auto" w:fill="FFFFFF"/>
        <w:spacing w:before="100" w:beforeAutospacing="1" w:after="100" w:afterAutospacing="1" w:line="240" w:lineRule="auto"/>
        <w:rPr>
          <w:rFonts w:ascii="Arial" w:eastAsia="Times New Roman" w:hAnsi="Arial" w:cs="Arial"/>
          <w:color w:val="333435"/>
          <w:sz w:val="21"/>
          <w:szCs w:val="21"/>
        </w:rPr>
      </w:pPr>
    </w:p>
    <w:p w:rsidR="00A82747" w:rsidRPr="00A82747" w:rsidRDefault="00A82747" w:rsidP="00A82747">
      <w:pPr>
        <w:numPr>
          <w:ilvl w:val="0"/>
          <w:numId w:val="5"/>
        </w:numPr>
        <w:shd w:val="clear" w:color="auto" w:fill="FFFFFF"/>
        <w:spacing w:before="100" w:beforeAutospacing="1" w:after="100" w:afterAutospacing="1" w:line="240" w:lineRule="auto"/>
        <w:rPr>
          <w:rFonts w:ascii="Arial" w:eastAsia="Times New Roman" w:hAnsi="Arial" w:cs="Arial"/>
          <w:color w:val="333435"/>
          <w:sz w:val="21"/>
          <w:szCs w:val="21"/>
        </w:rPr>
      </w:pPr>
      <w:r w:rsidRPr="00A82747">
        <w:rPr>
          <w:rFonts w:ascii="Arial" w:eastAsia="Times New Roman" w:hAnsi="Arial" w:cs="Arial"/>
          <w:color w:val="333435"/>
          <w:sz w:val="21"/>
          <w:szCs w:val="21"/>
        </w:rPr>
        <w:t>What 3D orientation term applies to the two curved surfaces that were identified in the 2D geometry of Question 1 above?</w:t>
      </w:r>
    </w:p>
    <w:p w:rsidR="00A82747" w:rsidRPr="00A82747" w:rsidRDefault="00A82747" w:rsidP="00A82747">
      <w:pPr>
        <w:numPr>
          <w:ilvl w:val="0"/>
          <w:numId w:val="5"/>
        </w:numPr>
        <w:shd w:val="clear" w:color="auto" w:fill="FFFFFF"/>
        <w:spacing w:before="100" w:beforeAutospacing="1" w:after="100" w:afterAutospacing="1" w:line="240" w:lineRule="auto"/>
        <w:rPr>
          <w:rFonts w:ascii="Arial" w:eastAsia="Times New Roman" w:hAnsi="Arial" w:cs="Arial"/>
          <w:color w:val="333435"/>
          <w:sz w:val="21"/>
          <w:szCs w:val="21"/>
        </w:rPr>
      </w:pPr>
      <w:r w:rsidRPr="00A82747">
        <w:rPr>
          <w:rFonts w:ascii="Arial" w:eastAsia="Times New Roman" w:hAnsi="Arial" w:cs="Arial"/>
          <w:color w:val="333435"/>
          <w:sz w:val="21"/>
          <w:szCs w:val="21"/>
        </w:rPr>
        <w:lastRenderedPageBreak/>
        <w:t>What term applies to the straight line elements in the pictorial view that connect the front surface to the back surface? (Hint: The lines show where the curved surfaces turn into flat surfaces, or vice versa.)</w:t>
      </w:r>
    </w:p>
    <w:p w:rsidR="00C87C31" w:rsidRDefault="00C87C31"/>
    <w:p w:rsidR="007D6C33" w:rsidRDefault="007D6C33" w:rsidP="007D6C33">
      <w:pPr>
        <w:spacing w:after="1" w:line="275" w:lineRule="auto"/>
        <w:jc w:val="center"/>
        <w:rPr>
          <w:b/>
          <w:i/>
          <w:color w:val="0070C0"/>
        </w:rPr>
      </w:pPr>
      <w:r w:rsidRPr="00F84E15">
        <w:rPr>
          <w:b/>
          <w:i/>
          <w:noProof/>
          <w:color w:val="0070C0"/>
        </w:rPr>
        <w:drawing>
          <wp:inline distT="0" distB="0" distL="0" distR="0" wp14:anchorId="6E3247A7" wp14:editId="19F3BBC5">
            <wp:extent cx="4601217" cy="11812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601217" cy="1181265"/>
                    </a:xfrm>
                    <a:prstGeom prst="rect">
                      <a:avLst/>
                    </a:prstGeom>
                  </pic:spPr>
                </pic:pic>
              </a:graphicData>
            </a:graphic>
          </wp:inline>
        </w:drawing>
      </w:r>
    </w:p>
    <w:p w:rsidR="007D6C33" w:rsidRDefault="007D6C33" w:rsidP="007D6C33">
      <w:pPr>
        <w:spacing w:after="0"/>
      </w:pPr>
      <w:r>
        <w:t xml:space="preserve">  </w:t>
      </w:r>
    </w:p>
    <w:p w:rsidR="007D6C33" w:rsidRDefault="007D6C33" w:rsidP="007D6C33">
      <w:pPr>
        <w:spacing w:after="0"/>
        <w:ind w:left="39"/>
        <w:jc w:val="center"/>
      </w:pPr>
      <w:r>
        <w:rPr>
          <w:b/>
        </w:rPr>
        <w:t xml:space="preserve">DOL DISCLAIMER: </w:t>
      </w:r>
    </w:p>
    <w:p w:rsidR="007D6C33" w:rsidRPr="00173038" w:rsidRDefault="007D6C33" w:rsidP="007D6C33">
      <w:pPr>
        <w:ind w:left="370" w:hanging="370"/>
        <w:rPr>
          <w:b/>
        </w:rPr>
      </w:pPr>
      <w:r w:rsidRPr="00173038">
        <w:rPr>
          <w:b/>
        </w:rPr>
        <w:t>“This workforce product was funded by a grant awarded by the U.S. Department of Labor’s Employment and Training Administration. The product was created by the grantee and does not necessarily reflect the official position of the U.S. Department of Labor. The U.S. Department of Labor makes no guarantees, warranties, or assurances of</w:t>
      </w:r>
    </w:p>
    <w:p w:rsidR="007D6C33" w:rsidRPr="00173038" w:rsidRDefault="007D6C33" w:rsidP="007D6C33">
      <w:pPr>
        <w:ind w:left="370"/>
        <w:rPr>
          <w:b/>
        </w:rPr>
      </w:pPr>
      <w:r w:rsidRPr="00173038">
        <w:rPr>
          <w:b/>
        </w:rPr>
        <w:t>any kind, express or implied, with respect to such information, including any information on linked sites and</w:t>
      </w:r>
      <w:r>
        <w:rPr>
          <w:b/>
        </w:rPr>
        <w:t xml:space="preserve"> </w:t>
      </w:r>
      <w:r w:rsidRPr="00173038">
        <w:rPr>
          <w:b/>
        </w:rPr>
        <w:t xml:space="preserve">including, but not limited to, accuracy of the information or its completeness, timeliness, usefulness, adequacy, continued availability, or ownership. This product is copyrighted by the institution that created it.” </w:t>
      </w:r>
    </w:p>
    <w:p w:rsidR="007D6C33" w:rsidRDefault="007D6C33" w:rsidP="007D6C33">
      <w:pPr>
        <w:spacing w:after="0"/>
        <w:ind w:left="1469"/>
      </w:pPr>
      <w:r>
        <w:t xml:space="preserve"> </w:t>
      </w:r>
    </w:p>
    <w:p w:rsidR="007D6C33" w:rsidRDefault="007D6C33" w:rsidP="007D6C33">
      <w:pPr>
        <w:spacing w:after="0"/>
        <w:ind w:right="157"/>
        <w:jc w:val="right"/>
      </w:pPr>
      <w:r>
        <w:rPr>
          <w:noProof/>
        </w:rPr>
        <w:drawing>
          <wp:inline distT="0" distB="0" distL="0" distR="0" wp14:anchorId="36772FD6" wp14:editId="1572F239">
            <wp:extent cx="838200" cy="297180"/>
            <wp:effectExtent l="0" t="0" r="0" b="0"/>
            <wp:docPr id="342" name="Picture 342"/>
            <wp:cNvGraphicFramePr/>
            <a:graphic xmlns:a="http://schemas.openxmlformats.org/drawingml/2006/main">
              <a:graphicData uri="http://schemas.openxmlformats.org/drawingml/2006/picture">
                <pic:pic xmlns:pic="http://schemas.openxmlformats.org/drawingml/2006/picture">
                  <pic:nvPicPr>
                    <pic:cNvPr id="342" name="Picture 342"/>
                    <pic:cNvPicPr/>
                  </pic:nvPicPr>
                  <pic:blipFill>
                    <a:blip r:embed="rId6"/>
                    <a:stretch>
                      <a:fillRect/>
                    </a:stretch>
                  </pic:blipFill>
                  <pic:spPr>
                    <a:xfrm>
                      <a:off x="0" y="0"/>
                      <a:ext cx="838200" cy="297180"/>
                    </a:xfrm>
                    <a:prstGeom prst="rect">
                      <a:avLst/>
                    </a:prstGeom>
                  </pic:spPr>
                </pic:pic>
              </a:graphicData>
            </a:graphic>
          </wp:inline>
        </w:drawing>
      </w:r>
      <w:r>
        <w:t xml:space="preserve"> This work is licensed under a </w:t>
      </w:r>
      <w:hyperlink r:id="rId7">
        <w:r>
          <w:rPr>
            <w:color w:val="0563C1"/>
            <w:u w:val="single" w:color="0563C1"/>
          </w:rPr>
          <w:t>Creative Commons Attribution 4.0 International License</w:t>
        </w:r>
      </w:hyperlink>
      <w:hyperlink r:id="rId8">
        <w:r>
          <w:t>.</w:t>
        </w:r>
      </w:hyperlink>
      <w:r>
        <w:t xml:space="preserve"> </w:t>
      </w:r>
    </w:p>
    <w:p w:rsidR="007D6C33" w:rsidRDefault="007D6C33"/>
    <w:sectPr w:rsidR="007D6C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63BBD"/>
    <w:multiLevelType w:val="multilevel"/>
    <w:tmpl w:val="173CAF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5714917"/>
    <w:multiLevelType w:val="multilevel"/>
    <w:tmpl w:val="7388C4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5A77C39"/>
    <w:multiLevelType w:val="multilevel"/>
    <w:tmpl w:val="E6003F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6103749"/>
    <w:multiLevelType w:val="multilevel"/>
    <w:tmpl w:val="5AD291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526151F"/>
    <w:multiLevelType w:val="multilevel"/>
    <w:tmpl w:val="1B8C3D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C33"/>
    <w:rsid w:val="000256A2"/>
    <w:rsid w:val="000626B5"/>
    <w:rsid w:val="005D27A3"/>
    <w:rsid w:val="00665E2E"/>
    <w:rsid w:val="006D5E65"/>
    <w:rsid w:val="00734DD8"/>
    <w:rsid w:val="007D6C33"/>
    <w:rsid w:val="00867AAD"/>
    <w:rsid w:val="00892EE2"/>
    <w:rsid w:val="009A4BC9"/>
    <w:rsid w:val="00A641AE"/>
    <w:rsid w:val="00A82747"/>
    <w:rsid w:val="00B07FAE"/>
    <w:rsid w:val="00C87C31"/>
    <w:rsid w:val="00DC0D0C"/>
    <w:rsid w:val="00EB31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3B2777"/>
  <w15:chartTrackingRefBased/>
  <w15:docId w15:val="{F705B33D-68A6-44E9-8FFE-1CA077177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D6C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ceitemhidden">
    <w:name w:val="mceitemhidden"/>
    <w:basedOn w:val="DefaultParagraphFont"/>
    <w:rsid w:val="00892EE2"/>
  </w:style>
  <w:style w:type="paragraph" w:styleId="ListParagraph">
    <w:name w:val="List Paragraph"/>
    <w:basedOn w:val="Normal"/>
    <w:uiPriority w:val="34"/>
    <w:qFormat/>
    <w:rsid w:val="00892E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00131">
      <w:bodyDiv w:val="1"/>
      <w:marLeft w:val="0"/>
      <w:marRight w:val="0"/>
      <w:marTop w:val="0"/>
      <w:marBottom w:val="0"/>
      <w:divBdr>
        <w:top w:val="none" w:sz="0" w:space="0" w:color="auto"/>
        <w:left w:val="none" w:sz="0" w:space="0" w:color="auto"/>
        <w:bottom w:val="none" w:sz="0" w:space="0" w:color="auto"/>
        <w:right w:val="none" w:sz="0" w:space="0" w:color="auto"/>
      </w:divBdr>
    </w:div>
    <w:div w:id="148249786">
      <w:bodyDiv w:val="1"/>
      <w:marLeft w:val="0"/>
      <w:marRight w:val="0"/>
      <w:marTop w:val="0"/>
      <w:marBottom w:val="0"/>
      <w:divBdr>
        <w:top w:val="none" w:sz="0" w:space="0" w:color="auto"/>
        <w:left w:val="none" w:sz="0" w:space="0" w:color="auto"/>
        <w:bottom w:val="none" w:sz="0" w:space="0" w:color="auto"/>
        <w:right w:val="none" w:sz="0" w:space="0" w:color="auto"/>
      </w:divBdr>
    </w:div>
    <w:div w:id="638337238">
      <w:bodyDiv w:val="1"/>
      <w:marLeft w:val="0"/>
      <w:marRight w:val="0"/>
      <w:marTop w:val="0"/>
      <w:marBottom w:val="0"/>
      <w:divBdr>
        <w:top w:val="none" w:sz="0" w:space="0" w:color="auto"/>
        <w:left w:val="none" w:sz="0" w:space="0" w:color="auto"/>
        <w:bottom w:val="none" w:sz="0" w:space="0" w:color="auto"/>
        <w:right w:val="none" w:sz="0" w:space="0" w:color="auto"/>
      </w:divBdr>
    </w:div>
    <w:div w:id="1623539211">
      <w:bodyDiv w:val="1"/>
      <w:marLeft w:val="0"/>
      <w:marRight w:val="0"/>
      <w:marTop w:val="0"/>
      <w:marBottom w:val="0"/>
      <w:divBdr>
        <w:top w:val="none" w:sz="0" w:space="0" w:color="auto"/>
        <w:left w:val="none" w:sz="0" w:space="0" w:color="auto"/>
        <w:bottom w:val="none" w:sz="0" w:space="0" w:color="auto"/>
        <w:right w:val="none" w:sz="0" w:space="0" w:color="auto"/>
      </w:divBdr>
    </w:div>
    <w:div w:id="2138142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4.0/" TargetMode="External"/><Relationship Id="rId3" Type="http://schemas.openxmlformats.org/officeDocument/2006/relationships/settings" Target="settings.xml"/><Relationship Id="rId7" Type="http://schemas.openxmlformats.org/officeDocument/2006/relationships/hyperlink" Target="http://creativecommons.org/licenses/by/4.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384</Words>
  <Characters>2193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Northwest State Community College</Company>
  <LinksUpToDate>false</LinksUpToDate>
  <CharactersWithSpaces>2572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Mohring</dc:creator>
  <cp:keywords/>
  <dc:description/>
  <cp:lastModifiedBy>David Mohring</cp:lastModifiedBy>
  <cp:revision>5</cp:revision>
  <dcterms:created xsi:type="dcterms:W3CDTF">2024-03-11T13:51:00Z</dcterms:created>
  <dcterms:modified xsi:type="dcterms:W3CDTF">2024-03-11T16:49:00Z</dcterms:modified>
</cp:coreProperties>
</file>